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29"/>
        <w:gridCol w:w="47"/>
        <w:gridCol w:w="1313"/>
        <w:gridCol w:w="1357"/>
      </w:tblGrid>
      <w:tr w:rsidR="00FC3315" w:rsidRPr="00F23936" w14:paraId="762B45A4" w14:textId="77777777" w:rsidTr="00C438B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47701D2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7"/>
          </w:tcPr>
          <w:p w14:paraId="048D91C3" w14:textId="77777777" w:rsidR="00FC3315" w:rsidRPr="00F23936" w:rsidRDefault="00FC3315" w:rsidP="00AC53D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Nazwa modułu (bloku przedmiotów): </w:t>
            </w:r>
            <w:r w:rsidR="00AC53D5" w:rsidRPr="00F23936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461D895B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Kod modułu: </w:t>
            </w:r>
            <w:r w:rsidR="00AC53D5" w:rsidRPr="00F23936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F23936" w14:paraId="0C5595CC" w14:textId="77777777" w:rsidTr="00C438B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51B9FC2" w14:textId="77777777" w:rsidR="00FC3315" w:rsidRPr="00F2393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7"/>
          </w:tcPr>
          <w:p w14:paraId="3FCCC6FE" w14:textId="77777777" w:rsidR="00FC3315" w:rsidRPr="00F23936" w:rsidRDefault="00FC3315" w:rsidP="00AC53D5">
            <w:pPr>
              <w:rPr>
                <w:b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Nazwa przedmiotu:</w:t>
            </w:r>
            <w:r w:rsidR="004474A9" w:rsidRPr="00F23936">
              <w:rPr>
                <w:sz w:val="22"/>
                <w:szCs w:val="22"/>
              </w:rPr>
              <w:t xml:space="preserve"> </w:t>
            </w:r>
            <w:r w:rsidR="00C438B4" w:rsidRPr="00F23936">
              <w:rPr>
                <w:b/>
                <w:sz w:val="22"/>
                <w:szCs w:val="22"/>
              </w:rPr>
              <w:t>Logistyka w zarządzaniu kryzysowym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2DFADF4F" w14:textId="7E834685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Kod przedmiotu:</w:t>
            </w:r>
            <w:r w:rsidRPr="00F23936">
              <w:rPr>
                <w:b/>
                <w:sz w:val="22"/>
                <w:szCs w:val="22"/>
              </w:rPr>
              <w:t xml:space="preserve"> </w:t>
            </w:r>
            <w:r w:rsidR="00DC7B14" w:rsidRPr="00F23936">
              <w:rPr>
                <w:b/>
                <w:sz w:val="22"/>
                <w:szCs w:val="22"/>
              </w:rPr>
              <w:t>4</w:t>
            </w:r>
            <w:r w:rsidR="00DD1AE2" w:rsidRPr="00F23936">
              <w:rPr>
                <w:b/>
                <w:sz w:val="22"/>
                <w:szCs w:val="22"/>
              </w:rPr>
              <w:t>4</w:t>
            </w:r>
            <w:r w:rsidR="00DC7B14" w:rsidRPr="00F23936">
              <w:rPr>
                <w:b/>
                <w:sz w:val="22"/>
                <w:szCs w:val="22"/>
              </w:rPr>
              <w:t>.</w:t>
            </w:r>
            <w:r w:rsidR="00CF16C4">
              <w:rPr>
                <w:b/>
                <w:sz w:val="22"/>
                <w:szCs w:val="22"/>
              </w:rPr>
              <w:t>4</w:t>
            </w:r>
            <w:r w:rsidR="00DC7B14" w:rsidRPr="00F23936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F23936" w14:paraId="5D832CCC" w14:textId="77777777" w:rsidTr="00EA2D0E">
        <w:trPr>
          <w:cantSplit/>
        </w:trPr>
        <w:tc>
          <w:tcPr>
            <w:tcW w:w="497" w:type="dxa"/>
            <w:vMerge/>
          </w:tcPr>
          <w:p w14:paraId="4A605A26" w14:textId="77777777" w:rsidR="00FC3315" w:rsidRPr="00F2393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6D6F2FA1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F23936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F23936" w14:paraId="4FDC1D4B" w14:textId="77777777" w:rsidTr="00EA2D0E">
        <w:trPr>
          <w:cantSplit/>
        </w:trPr>
        <w:tc>
          <w:tcPr>
            <w:tcW w:w="497" w:type="dxa"/>
            <w:vMerge/>
          </w:tcPr>
          <w:p w14:paraId="0C5A6AF3" w14:textId="77777777" w:rsidR="00FC3315" w:rsidRPr="00F2393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03C5A1C8" w14:textId="77777777" w:rsidR="00FC3315" w:rsidRPr="00F23936" w:rsidRDefault="00FC3315" w:rsidP="00DC7B14">
            <w:pPr>
              <w:rPr>
                <w:b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Nazwa kierunku: </w:t>
            </w:r>
            <w:r w:rsidR="00DC7B14" w:rsidRPr="00F23936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F23936" w14:paraId="6261B643" w14:textId="77777777" w:rsidTr="00C438B4">
        <w:trPr>
          <w:cantSplit/>
        </w:trPr>
        <w:tc>
          <w:tcPr>
            <w:tcW w:w="497" w:type="dxa"/>
            <w:vMerge/>
          </w:tcPr>
          <w:p w14:paraId="4A5CA375" w14:textId="77777777" w:rsidR="00FC3315" w:rsidRPr="00F2393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5EF797D8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Forma studiów: </w:t>
            </w:r>
            <w:r w:rsidRPr="00F23936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4"/>
          </w:tcPr>
          <w:p w14:paraId="5B89193A" w14:textId="77777777" w:rsidR="00FC3315" w:rsidRPr="00F23936" w:rsidRDefault="00FC3315" w:rsidP="00FC3315">
            <w:pPr>
              <w:rPr>
                <w:b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Profil kształcenia: </w:t>
            </w:r>
            <w:r w:rsidRPr="00F23936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2670" w:type="dxa"/>
            <w:gridSpan w:val="2"/>
          </w:tcPr>
          <w:p w14:paraId="3599A528" w14:textId="77777777" w:rsidR="00FC3315" w:rsidRPr="00F23936" w:rsidRDefault="00F23936" w:rsidP="00FC3315">
            <w:pPr>
              <w:rPr>
                <w:b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Specjalność: AS</w:t>
            </w:r>
          </w:p>
        </w:tc>
      </w:tr>
      <w:tr w:rsidR="00FC3315" w:rsidRPr="00F23936" w14:paraId="7C3714C3" w14:textId="77777777" w:rsidTr="00C438B4">
        <w:trPr>
          <w:cantSplit/>
        </w:trPr>
        <w:tc>
          <w:tcPr>
            <w:tcW w:w="497" w:type="dxa"/>
            <w:vMerge/>
          </w:tcPr>
          <w:p w14:paraId="599A1429" w14:textId="77777777" w:rsidR="00FC3315" w:rsidRPr="00F2393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07045159" w14:textId="77777777" w:rsidR="009E7B8A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Rok / semestr:  </w:t>
            </w:r>
          </w:p>
          <w:p w14:paraId="4BB17EC0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I</w:t>
            </w:r>
            <w:r w:rsidR="00B03140" w:rsidRPr="00F23936">
              <w:rPr>
                <w:b/>
                <w:sz w:val="22"/>
                <w:szCs w:val="22"/>
              </w:rPr>
              <w:t>I</w:t>
            </w:r>
            <w:r w:rsidRPr="00F23936">
              <w:rPr>
                <w:b/>
                <w:sz w:val="22"/>
                <w:szCs w:val="22"/>
              </w:rPr>
              <w:t>/I</w:t>
            </w:r>
            <w:r w:rsidR="000C1B21" w:rsidRPr="00F23936">
              <w:rPr>
                <w:b/>
                <w:sz w:val="22"/>
                <w:szCs w:val="22"/>
              </w:rPr>
              <w:t>I</w:t>
            </w:r>
            <w:r w:rsidR="00B03140" w:rsidRPr="00F23936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674" w:type="dxa"/>
            <w:gridSpan w:val="4"/>
          </w:tcPr>
          <w:p w14:paraId="73586729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Status przedmiotu /modułu:</w:t>
            </w:r>
          </w:p>
          <w:p w14:paraId="217A80D0" w14:textId="77777777" w:rsidR="00FC3315" w:rsidRPr="00F23936" w:rsidRDefault="000027D2" w:rsidP="00FC3315">
            <w:pPr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2670" w:type="dxa"/>
            <w:gridSpan w:val="2"/>
          </w:tcPr>
          <w:p w14:paraId="73AC7B35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Język przedmiotu / modułu:</w:t>
            </w:r>
          </w:p>
          <w:p w14:paraId="3AFFA3AE" w14:textId="77777777" w:rsidR="00FC3315" w:rsidRPr="00F23936" w:rsidRDefault="00FC3315" w:rsidP="00FC3315">
            <w:pPr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F23936" w14:paraId="7F0079C6" w14:textId="77777777" w:rsidTr="009E7B8A">
        <w:trPr>
          <w:cantSplit/>
        </w:trPr>
        <w:tc>
          <w:tcPr>
            <w:tcW w:w="497" w:type="dxa"/>
            <w:vMerge/>
          </w:tcPr>
          <w:p w14:paraId="682472C6" w14:textId="77777777" w:rsidR="00FC3315" w:rsidRPr="00F2393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9541289" w14:textId="77777777" w:rsidR="00FC3315" w:rsidRPr="00F23936" w:rsidRDefault="00FC3315" w:rsidP="009E7B8A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957EE3C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D5B2CD2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DD33087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vAlign w:val="center"/>
          </w:tcPr>
          <w:p w14:paraId="29F9ACBF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6A64DF0B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ACDAA06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inne </w:t>
            </w:r>
            <w:r w:rsidRPr="00F23936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F23936" w14:paraId="4D15ECE6" w14:textId="77777777" w:rsidTr="009E7B8A">
        <w:trPr>
          <w:cantSplit/>
        </w:trPr>
        <w:tc>
          <w:tcPr>
            <w:tcW w:w="497" w:type="dxa"/>
            <w:vMerge/>
          </w:tcPr>
          <w:p w14:paraId="504C99B7" w14:textId="77777777" w:rsidR="00FC3315" w:rsidRPr="00F2393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5B1D3D4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2183765" w14:textId="77777777" w:rsidR="00FC3315" w:rsidRPr="00F23936" w:rsidRDefault="00DD1AE2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611ED30" w14:textId="77777777" w:rsidR="00FC3315" w:rsidRPr="00F23936" w:rsidRDefault="00DD1AE2" w:rsidP="00E32F86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58C53FED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14:paraId="223239BF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7BDE1545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1E303D0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D2DFF15" w14:textId="77777777" w:rsidR="00FC3315" w:rsidRPr="00F23936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C3315" w:rsidRPr="00F23936" w14:paraId="72D98FD7" w14:textId="77777777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89FA610" w14:textId="77777777" w:rsidR="00FC3315" w:rsidRPr="00F23936" w:rsidRDefault="00FC3315" w:rsidP="009E7B8A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FB2A10F" w14:textId="77777777" w:rsidR="00FC3315" w:rsidRPr="00F23936" w:rsidRDefault="00821E14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Dr Henryk Gawroński</w:t>
            </w:r>
            <w:r w:rsidR="00F23936" w:rsidRPr="00F23936">
              <w:rPr>
                <w:sz w:val="22"/>
                <w:szCs w:val="22"/>
              </w:rPr>
              <w:t>, prof. uczelni</w:t>
            </w:r>
          </w:p>
        </w:tc>
      </w:tr>
      <w:tr w:rsidR="00FC3315" w:rsidRPr="00F23936" w14:paraId="4D32099B" w14:textId="77777777" w:rsidTr="009E7B8A">
        <w:tc>
          <w:tcPr>
            <w:tcW w:w="2988" w:type="dxa"/>
            <w:vAlign w:val="center"/>
          </w:tcPr>
          <w:p w14:paraId="1F7031AE" w14:textId="77777777" w:rsidR="00FC3315" w:rsidRPr="00F23936" w:rsidRDefault="00FC3315" w:rsidP="009E7B8A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2E2E9C61" w14:textId="77777777" w:rsidR="00FC3315" w:rsidRPr="00F23936" w:rsidRDefault="00821E14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Dr Henryk Gawroński</w:t>
            </w:r>
            <w:r w:rsidR="00F23936" w:rsidRPr="00F23936">
              <w:rPr>
                <w:sz w:val="22"/>
                <w:szCs w:val="22"/>
              </w:rPr>
              <w:t>, prof. uczelni</w:t>
            </w:r>
          </w:p>
        </w:tc>
      </w:tr>
      <w:tr w:rsidR="00FC3315" w:rsidRPr="00F23936" w14:paraId="60A84830" w14:textId="77777777" w:rsidTr="009E7B8A">
        <w:tc>
          <w:tcPr>
            <w:tcW w:w="2988" w:type="dxa"/>
            <w:vAlign w:val="center"/>
          </w:tcPr>
          <w:p w14:paraId="13A76D62" w14:textId="77777777" w:rsidR="00FC3315" w:rsidRPr="00F23936" w:rsidRDefault="00FC3315" w:rsidP="009E7B8A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91BF590" w14:textId="77777777" w:rsidR="00FC3315" w:rsidRPr="00F23936" w:rsidRDefault="00821E14" w:rsidP="00821E14">
            <w:pPr>
              <w:jc w:val="both"/>
              <w:rPr>
                <w:sz w:val="22"/>
                <w:szCs w:val="22"/>
              </w:rPr>
            </w:pPr>
            <w:r w:rsidRPr="00F23936">
              <w:rPr>
                <w:bCs/>
                <w:sz w:val="22"/>
                <w:szCs w:val="22"/>
              </w:rPr>
              <w:t xml:space="preserve">Celem nauczania przedmiotu jest dostarczenie słuchaczom wiedzy z zakresu możliwych, skoordynowanych i skutecznych działań podejmowanych przez właściwe organy i instytucje </w:t>
            </w:r>
            <w:r w:rsidRPr="00F23936">
              <w:rPr>
                <w:sz w:val="22"/>
                <w:szCs w:val="22"/>
              </w:rPr>
              <w:t>w sytuacjach kryzysowych, poprzez ratowanie życia i zdrowia rannym i chorym oraz zapewnienie wszystkim osobom (ratującym i ratowanym) warunków niezbędnych do przetrwania w tych sytuacjach.</w:t>
            </w:r>
          </w:p>
        </w:tc>
      </w:tr>
      <w:tr w:rsidR="00FC3315" w:rsidRPr="00F23936" w14:paraId="0E6FF5ED" w14:textId="77777777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2E64017" w14:textId="77777777" w:rsidR="00FC3315" w:rsidRPr="00F23936" w:rsidRDefault="00FC3315" w:rsidP="009E7B8A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635865A" w14:textId="77777777" w:rsidR="00FC3315" w:rsidRPr="00F23936" w:rsidRDefault="00821E14" w:rsidP="00821E14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Znajomość konstytucyjnego ustroju państwa, procesów sprawowania władzy w państwie, podejmowania decyzji i dysponowania zasobami w organizacjach.</w:t>
            </w:r>
          </w:p>
        </w:tc>
      </w:tr>
    </w:tbl>
    <w:p w14:paraId="783A46A8" w14:textId="77777777" w:rsidR="00FC3315" w:rsidRPr="00F23936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F23936" w14:paraId="47B242E3" w14:textId="77777777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EB598C2" w14:textId="77777777" w:rsidR="00FC3315" w:rsidRPr="00F2393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F23936" w14:paraId="399C8931" w14:textId="77777777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CBCD469" w14:textId="77777777" w:rsidR="00FC3315" w:rsidRPr="00F23936" w:rsidRDefault="00FC3315" w:rsidP="00511AA4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32D80BC" w14:textId="77777777" w:rsidR="00FC3315" w:rsidRPr="00F23936" w:rsidRDefault="00FC3315" w:rsidP="00511AA4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B075CD" w14:textId="77777777" w:rsidR="00FC3315" w:rsidRPr="00F23936" w:rsidRDefault="00FC3315" w:rsidP="00511AA4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Kod kierunkowego efektu</w:t>
            </w:r>
          </w:p>
          <w:p w14:paraId="33A41A95" w14:textId="77777777" w:rsidR="00FC3315" w:rsidRPr="00F23936" w:rsidRDefault="00FC3315" w:rsidP="00511AA4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uczenia się</w:t>
            </w:r>
          </w:p>
        </w:tc>
      </w:tr>
      <w:tr w:rsidR="00FC3315" w:rsidRPr="00F23936" w14:paraId="71F6BA0A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47E615" w14:textId="77777777" w:rsidR="00FC3315" w:rsidRPr="00F23936" w:rsidRDefault="009E7B8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527FD4" w14:textId="77777777" w:rsidR="00FC3315" w:rsidRPr="00F23936" w:rsidRDefault="00BF2C1A" w:rsidP="007968A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Wymienia i charakteryzuje potencjał logistyczny poszczególnych służb publicznych oraz określa </w:t>
            </w:r>
            <w:r w:rsidR="00821E14" w:rsidRPr="00F23936">
              <w:rPr>
                <w:sz w:val="22"/>
                <w:szCs w:val="22"/>
              </w:rPr>
              <w:t xml:space="preserve">uwarunkowania </w:t>
            </w:r>
            <w:r w:rsidRPr="00F23936">
              <w:rPr>
                <w:sz w:val="22"/>
                <w:szCs w:val="22"/>
              </w:rPr>
              <w:t xml:space="preserve">faktyczne i </w:t>
            </w:r>
            <w:r w:rsidR="00821E14" w:rsidRPr="00F23936">
              <w:rPr>
                <w:sz w:val="22"/>
                <w:szCs w:val="22"/>
              </w:rPr>
              <w:t xml:space="preserve">prawne </w:t>
            </w:r>
            <w:r w:rsidRPr="00F23936">
              <w:rPr>
                <w:sz w:val="22"/>
                <w:szCs w:val="22"/>
              </w:rPr>
              <w:t>wykorzystania tego potencjału.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EDDCD" w14:textId="77777777" w:rsidR="00FC3315" w:rsidRPr="00F23936" w:rsidRDefault="00BF2C1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K1P_W05</w:t>
            </w:r>
          </w:p>
          <w:p w14:paraId="098FEFFF" w14:textId="77777777" w:rsidR="00BF2C1A" w:rsidRPr="00F23936" w:rsidRDefault="00BF2C1A" w:rsidP="00BF2C1A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K1P_W10</w:t>
            </w:r>
          </w:p>
        </w:tc>
      </w:tr>
      <w:tr w:rsidR="00FC3315" w:rsidRPr="00F23936" w14:paraId="634BEDE4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4BF883" w14:textId="77777777" w:rsidR="00FC3315" w:rsidRPr="00F23936" w:rsidRDefault="009E7B8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897C33" w14:textId="77777777" w:rsidR="00FC3315" w:rsidRPr="00F23936" w:rsidRDefault="00821E14" w:rsidP="007968A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Wyjaśnia zadania organów administracji publicznej i ich rolę oraz określa wzajemne relacje między tymi organami w zakresie zadań logistycznych w sytuacjach zarządzania kryzysowego.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E9CBA" w14:textId="77777777" w:rsidR="00FC3315" w:rsidRPr="00F23936" w:rsidRDefault="00BF2C1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K1P_W05</w:t>
            </w:r>
          </w:p>
          <w:p w14:paraId="397F4A23" w14:textId="77777777" w:rsidR="00BF2C1A" w:rsidRPr="00F23936" w:rsidRDefault="00BF2C1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K1P_W10</w:t>
            </w:r>
          </w:p>
        </w:tc>
      </w:tr>
      <w:tr w:rsidR="00FC3315" w:rsidRPr="00F23936" w14:paraId="4BBCD144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F2211C" w14:textId="77777777" w:rsidR="00FC3315" w:rsidRPr="00F23936" w:rsidRDefault="009E7B8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ED34D8" w14:textId="77777777" w:rsidR="00FC3315" w:rsidRPr="00F23936" w:rsidRDefault="00821E14" w:rsidP="007968A8">
            <w:pPr>
              <w:jc w:val="both"/>
              <w:rPr>
                <w:sz w:val="22"/>
                <w:szCs w:val="22"/>
              </w:rPr>
            </w:pPr>
            <w:r w:rsidRPr="00F23936">
              <w:rPr>
                <w:rFonts w:eastAsia="Arial Unicode MS"/>
                <w:sz w:val="22"/>
                <w:szCs w:val="22"/>
              </w:rPr>
              <w:t xml:space="preserve">Dokonuje </w:t>
            </w:r>
            <w:r w:rsidRPr="00F23936">
              <w:rPr>
                <w:sz w:val="22"/>
                <w:szCs w:val="22"/>
              </w:rPr>
              <w:t>oceny i analizy ryzyka zaistnienia sytuacji kryzysowej oraz konstruuje plany i procedury działania w sytuacjach kryzysowych z uwzględnieniem logistycznych możliwości realizacji tych procedur.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111E1C" w14:textId="77777777" w:rsidR="00FC3315" w:rsidRPr="00F23936" w:rsidRDefault="00BF2C1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K1P_U09 K1P_U15</w:t>
            </w:r>
          </w:p>
        </w:tc>
      </w:tr>
      <w:tr w:rsidR="00FC3315" w:rsidRPr="00F23936" w14:paraId="344573E6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B50747" w14:textId="77777777" w:rsidR="00FC3315" w:rsidRPr="00F23936" w:rsidRDefault="009E7B8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E50603" w14:textId="77777777" w:rsidR="00FC3315" w:rsidRPr="00F23936" w:rsidRDefault="00382532" w:rsidP="007968A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Analizuje, ocenia i szacuje potrzeby w zakresie potencjału logistycznego niezbędnego w określonej sytuacji kryzysowej oraz możliwości uruchomienia tego potencjału.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24650C" w14:textId="77777777" w:rsidR="00FC3315" w:rsidRPr="00F23936" w:rsidRDefault="00BF2C1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K1P_U09 K1P_U15</w:t>
            </w:r>
          </w:p>
        </w:tc>
      </w:tr>
      <w:tr w:rsidR="00FC3315" w:rsidRPr="00F23936" w14:paraId="363F3C63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7BFFAA" w14:textId="77777777" w:rsidR="00FC3315" w:rsidRPr="00F23936" w:rsidRDefault="009E7B8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0C170B" w14:textId="77777777" w:rsidR="00FC3315" w:rsidRPr="00F23936" w:rsidRDefault="00F72ADC" w:rsidP="007968A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Określa priorytety, współdziała w grupie, organizuje i kieruje pracą zespołów przyjmując w nich różne role.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DCC542" w14:textId="77777777" w:rsidR="00FC3315" w:rsidRPr="00F23936" w:rsidRDefault="00F72ADC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K1P_K03</w:t>
            </w:r>
          </w:p>
          <w:p w14:paraId="65883AA8" w14:textId="77777777" w:rsidR="00F72ADC" w:rsidRPr="00F23936" w:rsidRDefault="00F72ADC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K1P_K04</w:t>
            </w:r>
          </w:p>
        </w:tc>
      </w:tr>
      <w:tr w:rsidR="009E7B8A" w:rsidRPr="00F23936" w14:paraId="7FF3A11A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FC7762" w14:textId="77777777" w:rsidR="009E7B8A" w:rsidRPr="00F23936" w:rsidRDefault="009E7B8A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7CC724" w14:textId="77777777" w:rsidR="009E7B8A" w:rsidRPr="00F23936" w:rsidRDefault="00F72ADC" w:rsidP="007968A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Wykorzystuje różne źródła wiedzy; potrafi wyciągać wnioski z popełnianych błędów; weryfikuje swoje działania, postawy oraz poszukuje nowych lepszych rozwiązań.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07011" w14:textId="77777777" w:rsidR="009E7B8A" w:rsidRPr="00F23936" w:rsidRDefault="00F72ADC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K1P_K07</w:t>
            </w:r>
          </w:p>
          <w:p w14:paraId="06081AAA" w14:textId="77777777" w:rsidR="00F72ADC" w:rsidRPr="00F23936" w:rsidRDefault="00F72ADC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K1P_K08</w:t>
            </w:r>
          </w:p>
        </w:tc>
      </w:tr>
    </w:tbl>
    <w:p w14:paraId="40786F3C" w14:textId="77777777" w:rsidR="00FC3315" w:rsidRPr="00F23936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F23936" w14:paraId="0B40ECB7" w14:textId="77777777" w:rsidTr="00EA2D0E">
        <w:tc>
          <w:tcPr>
            <w:tcW w:w="10008" w:type="dxa"/>
            <w:vAlign w:val="center"/>
          </w:tcPr>
          <w:p w14:paraId="67503653" w14:textId="77777777" w:rsidR="00FC3315" w:rsidRPr="00F2393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F23936" w14:paraId="46E7486A" w14:textId="77777777" w:rsidTr="00EA2D0E">
        <w:tc>
          <w:tcPr>
            <w:tcW w:w="10008" w:type="dxa"/>
            <w:shd w:val="pct15" w:color="auto" w:fill="FFFFFF"/>
          </w:tcPr>
          <w:p w14:paraId="54C5E4CC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Wykład</w:t>
            </w:r>
          </w:p>
        </w:tc>
      </w:tr>
      <w:tr w:rsidR="00FC3315" w:rsidRPr="00F23936" w14:paraId="5DFDE74F" w14:textId="77777777" w:rsidTr="00EA2D0E">
        <w:tc>
          <w:tcPr>
            <w:tcW w:w="10008" w:type="dxa"/>
          </w:tcPr>
          <w:p w14:paraId="31D1F056" w14:textId="77777777" w:rsidR="00FC3315" w:rsidRPr="00F23936" w:rsidRDefault="00821E14" w:rsidP="00382532">
            <w:pPr>
              <w:jc w:val="both"/>
              <w:outlineLvl w:val="1"/>
              <w:rPr>
                <w:sz w:val="22"/>
                <w:szCs w:val="22"/>
              </w:rPr>
            </w:pPr>
            <w:r w:rsidRPr="00F23936">
              <w:rPr>
                <w:bCs/>
                <w:sz w:val="22"/>
                <w:szCs w:val="22"/>
              </w:rPr>
              <w:t>Podstawowe pojęcia - sytuacja kryzysowa, infrastruktura krytyczna, zarządzanie kryzysowe; po</w:t>
            </w:r>
            <w:r w:rsidRPr="00F23936">
              <w:rPr>
                <w:sz w:val="22"/>
                <w:szCs w:val="22"/>
              </w:rPr>
              <w:t>dstawy wiedzy o logistyce; priorytety zabezpieczenia  logistycznego w sytuacjach kryzysowych; zasady, etapy i zasady logistyki kryzysowej; potrzeby logistyczne ludności w sytuacjach kryzysowych; zapotrzebowanie na usługi gospodarczo bytowe i standardy ochrony ludności</w:t>
            </w:r>
            <w:r w:rsidR="00382532" w:rsidRPr="00F23936">
              <w:rPr>
                <w:sz w:val="22"/>
                <w:szCs w:val="22"/>
              </w:rPr>
              <w:t xml:space="preserve">; </w:t>
            </w:r>
            <w:r w:rsidR="00382532" w:rsidRPr="00F23936">
              <w:rPr>
                <w:bCs/>
                <w:sz w:val="22"/>
                <w:szCs w:val="22"/>
              </w:rPr>
              <w:t>potrzeby i zabezpieczenie transportowe, techniczne i infrastrukturalne; zar</w:t>
            </w:r>
            <w:r w:rsidRPr="00F23936">
              <w:rPr>
                <w:bCs/>
                <w:sz w:val="22"/>
                <w:szCs w:val="22"/>
              </w:rPr>
              <w:t>ządzanie regionalnymi zasobami logistycznymi w sytuacjach kryzysowych</w:t>
            </w:r>
            <w:r w:rsidR="00382532" w:rsidRPr="00F23936">
              <w:rPr>
                <w:bCs/>
                <w:sz w:val="22"/>
                <w:szCs w:val="22"/>
              </w:rPr>
              <w:t xml:space="preserve">. </w:t>
            </w:r>
          </w:p>
        </w:tc>
      </w:tr>
      <w:tr w:rsidR="00FC3315" w:rsidRPr="00F23936" w14:paraId="3AB959C8" w14:textId="77777777" w:rsidTr="00EA2D0E">
        <w:tc>
          <w:tcPr>
            <w:tcW w:w="10008" w:type="dxa"/>
            <w:shd w:val="pct15" w:color="auto" w:fill="FFFFFF"/>
          </w:tcPr>
          <w:p w14:paraId="709FBA42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Ćwiczenia</w:t>
            </w:r>
          </w:p>
        </w:tc>
      </w:tr>
      <w:tr w:rsidR="00FC3315" w:rsidRPr="00F23936" w14:paraId="2DC5886E" w14:textId="77777777" w:rsidTr="00EA2D0E">
        <w:tc>
          <w:tcPr>
            <w:tcW w:w="10008" w:type="dxa"/>
          </w:tcPr>
          <w:p w14:paraId="73B62565" w14:textId="77777777" w:rsidR="00FC3315" w:rsidRPr="00F23936" w:rsidRDefault="00821E14" w:rsidP="00382532">
            <w:pPr>
              <w:jc w:val="both"/>
              <w:outlineLvl w:val="1"/>
              <w:rPr>
                <w:sz w:val="22"/>
                <w:szCs w:val="22"/>
              </w:rPr>
            </w:pPr>
            <w:r w:rsidRPr="00F23936">
              <w:rPr>
                <w:bCs/>
                <w:sz w:val="22"/>
                <w:szCs w:val="22"/>
              </w:rPr>
              <w:t>Potencjał logistyczny i  Funkcjonowanie Krajowego Systemu Ratowniczo Gaśniczego</w:t>
            </w:r>
            <w:r w:rsidR="00382532" w:rsidRPr="00F23936">
              <w:rPr>
                <w:bCs/>
                <w:sz w:val="22"/>
                <w:szCs w:val="22"/>
              </w:rPr>
              <w:t>; o</w:t>
            </w:r>
            <w:r w:rsidRPr="00F23936">
              <w:rPr>
                <w:bCs/>
                <w:sz w:val="22"/>
                <w:szCs w:val="22"/>
              </w:rPr>
              <w:t xml:space="preserve">chotnicze straże </w:t>
            </w:r>
            <w:r w:rsidRPr="00F23936">
              <w:rPr>
                <w:bCs/>
                <w:sz w:val="22"/>
                <w:szCs w:val="22"/>
              </w:rPr>
              <w:lastRenderedPageBreak/>
              <w:t>pożarne w logistyce zarządzania kryzysowego</w:t>
            </w:r>
            <w:r w:rsidR="00382532" w:rsidRPr="00F23936">
              <w:rPr>
                <w:bCs/>
                <w:sz w:val="22"/>
                <w:szCs w:val="22"/>
              </w:rPr>
              <w:t>; p</w:t>
            </w:r>
            <w:r w:rsidRPr="00F23936">
              <w:rPr>
                <w:bCs/>
                <w:sz w:val="22"/>
                <w:szCs w:val="22"/>
              </w:rPr>
              <w:t>otencjał logistyczny i organizacja systemu Państwowego Ratownictwa Medycznego</w:t>
            </w:r>
            <w:r w:rsidR="00382532" w:rsidRPr="00F23936">
              <w:rPr>
                <w:bCs/>
                <w:sz w:val="22"/>
                <w:szCs w:val="22"/>
              </w:rPr>
              <w:t>; potencjał logistyczny Policji i jego wykorzystanie; krajowy system powiadamiania ratunkowego; udział wojska w sytuacjach kryzysowych; p</w:t>
            </w:r>
            <w:r w:rsidRPr="00F23936">
              <w:rPr>
                <w:bCs/>
                <w:sz w:val="22"/>
                <w:szCs w:val="22"/>
              </w:rPr>
              <w:t>otencjał logistyczny i organizacja Obrony Cywilnej</w:t>
            </w:r>
            <w:r w:rsidR="00382532" w:rsidRPr="00F23936">
              <w:rPr>
                <w:bCs/>
                <w:sz w:val="22"/>
                <w:szCs w:val="22"/>
              </w:rPr>
              <w:t xml:space="preserve">; rezerwy strategiczne państwa i działanie Agencji Rezerw Materiałowych. </w:t>
            </w:r>
          </w:p>
        </w:tc>
      </w:tr>
    </w:tbl>
    <w:p w14:paraId="0E0FBDCE" w14:textId="77777777" w:rsidR="00FC3315" w:rsidRPr="00F23936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FC3315" w:rsidRPr="00F23936" w14:paraId="4D170123" w14:textId="77777777" w:rsidTr="009E7B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CF13326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C43EBD5" w14:textId="77777777" w:rsidR="005E4658" w:rsidRPr="00F23936" w:rsidRDefault="00997918" w:rsidP="00997918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F23936">
              <w:rPr>
                <w:rFonts w:ascii="Times New Roman" w:hAnsi="Times New Roman" w:cs="Times New Roman"/>
                <w:lang w:val="pl-PL"/>
              </w:rPr>
              <w:t>E.</w:t>
            </w:r>
            <w:r w:rsidR="005E4658" w:rsidRPr="00F23936">
              <w:rPr>
                <w:rFonts w:ascii="Times New Roman" w:hAnsi="Times New Roman" w:cs="Times New Roman"/>
                <w:lang w:val="pl-PL"/>
              </w:rPr>
              <w:t xml:space="preserve"> Nowak Paweł Walencik, </w:t>
            </w:r>
            <w:r w:rsidR="005E4658" w:rsidRPr="00F23936">
              <w:rPr>
                <w:rFonts w:ascii="Times New Roman" w:hAnsi="Times New Roman" w:cs="Times New Roman"/>
                <w:i/>
                <w:iCs/>
                <w:lang w:val="pl-PL"/>
              </w:rPr>
              <w:t>Logistyka akcji ratowniczych</w:t>
            </w:r>
            <w:r w:rsidR="005E4658" w:rsidRPr="00F23936">
              <w:rPr>
                <w:rFonts w:ascii="Times New Roman" w:hAnsi="Times New Roman" w:cs="Times New Roman"/>
                <w:lang w:val="pl-PL"/>
              </w:rPr>
              <w:t>, PWN, Warszawa 2018.</w:t>
            </w:r>
          </w:p>
          <w:p w14:paraId="74BB189A" w14:textId="77777777" w:rsidR="007C23D2" w:rsidRPr="00F23936" w:rsidRDefault="00997918" w:rsidP="00997918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F23936">
              <w:rPr>
                <w:rFonts w:ascii="Times New Roman" w:hAnsi="Times New Roman" w:cs="Times New Roman"/>
                <w:lang w:val="pl-PL"/>
              </w:rPr>
              <w:t>B.</w:t>
            </w:r>
            <w:r w:rsidR="007C23D2" w:rsidRPr="00F23936">
              <w:rPr>
                <w:rFonts w:ascii="Times New Roman" w:hAnsi="Times New Roman" w:cs="Times New Roman"/>
                <w:lang w:val="pl-PL"/>
              </w:rPr>
              <w:t xml:space="preserve"> Stepiewski, </w:t>
            </w:r>
            <w:r w:rsidR="007C23D2" w:rsidRPr="00F23936">
              <w:rPr>
                <w:rFonts w:ascii="Times New Roman" w:hAnsi="Times New Roman" w:cs="Times New Roman"/>
                <w:i/>
                <w:iCs/>
                <w:lang w:val="pl-PL"/>
              </w:rPr>
              <w:t>Wprowadzenie do inżynierii logistyki bezpieczeństwa</w:t>
            </w:r>
            <w:r w:rsidR="007C23D2" w:rsidRPr="00F23936">
              <w:rPr>
                <w:rFonts w:ascii="Times New Roman" w:hAnsi="Times New Roman" w:cs="Times New Roman"/>
                <w:lang w:val="pl-PL"/>
              </w:rPr>
              <w:t>. Difin Warszawa 2019</w:t>
            </w:r>
          </w:p>
          <w:p w14:paraId="48ABBE10" w14:textId="77777777" w:rsidR="00BF2C1A" w:rsidRPr="00F23936" w:rsidRDefault="00997918" w:rsidP="00997918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F23936">
              <w:rPr>
                <w:rFonts w:ascii="Times New Roman" w:hAnsi="Times New Roman" w:cs="Times New Roman"/>
                <w:lang w:val="pl-PL"/>
              </w:rPr>
              <w:t>K.</w:t>
            </w:r>
            <w:r w:rsidR="00BF2C1A" w:rsidRPr="00F23936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E4658" w:rsidRPr="00F23936">
              <w:rPr>
                <w:rFonts w:ascii="Times New Roman" w:hAnsi="Times New Roman" w:cs="Times New Roman"/>
                <w:lang w:val="pl-PL"/>
              </w:rPr>
              <w:t>Ficoń</w:t>
            </w:r>
            <w:r w:rsidR="00BF2C1A" w:rsidRPr="00F23936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="00BF2C1A" w:rsidRPr="00F23936">
              <w:rPr>
                <w:rFonts w:ascii="Times New Roman" w:hAnsi="Times New Roman" w:cs="Times New Roman"/>
                <w:i/>
                <w:lang w:val="pl-PL"/>
              </w:rPr>
              <w:t>Logistyka kryzysowa</w:t>
            </w:r>
            <w:r w:rsidR="00BF2C1A" w:rsidRPr="00F23936">
              <w:rPr>
                <w:rFonts w:ascii="Times New Roman" w:hAnsi="Times New Roman" w:cs="Times New Roman"/>
                <w:lang w:val="pl-PL"/>
              </w:rPr>
              <w:t xml:space="preserve">. </w:t>
            </w:r>
            <w:r w:rsidR="00BF2C1A" w:rsidRPr="00F23936">
              <w:rPr>
                <w:rFonts w:ascii="Times New Roman" w:hAnsi="Times New Roman" w:cs="Times New Roman"/>
                <w:i/>
                <w:lang w:val="pl-PL"/>
              </w:rPr>
              <w:t>Procedury. Potrzeby. Potencjał,</w:t>
            </w:r>
            <w:r w:rsidR="00BF2C1A" w:rsidRPr="00F23936">
              <w:rPr>
                <w:rFonts w:ascii="Times New Roman" w:hAnsi="Times New Roman" w:cs="Times New Roman"/>
                <w:lang w:val="pl-PL"/>
              </w:rPr>
              <w:t xml:space="preserve"> BEL Studio, Warszawa 2011. </w:t>
            </w:r>
          </w:p>
          <w:p w14:paraId="7FA737DC" w14:textId="77777777" w:rsidR="00FC3315" w:rsidRPr="00F23936" w:rsidRDefault="00997918" w:rsidP="00997918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F23936">
              <w:rPr>
                <w:rFonts w:ascii="Times New Roman" w:hAnsi="Times New Roman" w:cs="Times New Roman"/>
                <w:lang w:val="pl-PL"/>
              </w:rPr>
              <w:t>A.</w:t>
            </w:r>
            <w:r w:rsidR="00BF2C1A" w:rsidRPr="00F23936">
              <w:rPr>
                <w:rFonts w:ascii="Times New Roman" w:hAnsi="Times New Roman" w:cs="Times New Roman"/>
                <w:lang w:val="pl-PL"/>
              </w:rPr>
              <w:t xml:space="preserve"> Szymonik, </w:t>
            </w:r>
            <w:r w:rsidR="00BF2C1A" w:rsidRPr="00F23936">
              <w:rPr>
                <w:rFonts w:ascii="Times New Roman" w:hAnsi="Times New Roman" w:cs="Times New Roman"/>
                <w:i/>
                <w:lang w:val="pl-PL"/>
              </w:rPr>
              <w:t>Logistyka w bezpieczeństwie</w:t>
            </w:r>
            <w:r w:rsidR="00BF2C1A" w:rsidRPr="00F23936">
              <w:rPr>
                <w:rFonts w:ascii="Times New Roman" w:hAnsi="Times New Roman" w:cs="Times New Roman"/>
                <w:lang w:val="pl-PL"/>
              </w:rPr>
              <w:t>. Difin Warszawa 2011</w:t>
            </w:r>
            <w:r w:rsidR="00363C72" w:rsidRPr="00F23936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FC3315" w:rsidRPr="00F23936" w14:paraId="38B64A51" w14:textId="77777777" w:rsidTr="009E7B8A">
        <w:tc>
          <w:tcPr>
            <w:tcW w:w="2660" w:type="dxa"/>
          </w:tcPr>
          <w:p w14:paraId="06936C44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60AD2A4B" w14:textId="77777777" w:rsidR="00363C72" w:rsidRPr="00F23936" w:rsidRDefault="00997918" w:rsidP="00363C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W.</w:t>
            </w:r>
            <w:r w:rsidR="00363C72" w:rsidRPr="00F23936">
              <w:rPr>
                <w:sz w:val="22"/>
                <w:szCs w:val="22"/>
              </w:rPr>
              <w:t xml:space="preserve"> Nowak, </w:t>
            </w:r>
            <w:r w:rsidRPr="00F23936">
              <w:rPr>
                <w:sz w:val="22"/>
                <w:szCs w:val="22"/>
              </w:rPr>
              <w:t>E.</w:t>
            </w:r>
            <w:r w:rsidR="00363C72" w:rsidRPr="00F23936">
              <w:rPr>
                <w:sz w:val="22"/>
                <w:szCs w:val="22"/>
              </w:rPr>
              <w:t xml:space="preserve"> Nowak, </w:t>
            </w:r>
            <w:r w:rsidR="00363C72" w:rsidRPr="00F23936">
              <w:rPr>
                <w:i/>
                <w:sz w:val="22"/>
                <w:szCs w:val="22"/>
              </w:rPr>
              <w:t>Podstawy logistyki w sytuacjach kryzysowych z elementami zarządzania logistycznego</w:t>
            </w:r>
            <w:r w:rsidR="00363C72" w:rsidRPr="00F23936">
              <w:rPr>
                <w:sz w:val="22"/>
                <w:szCs w:val="22"/>
              </w:rPr>
              <w:t>, Społeczna Wyższa Szkoła Przedsiębiorczości i Zarządzania, Łódź-Warszawa 2009.</w:t>
            </w:r>
          </w:p>
          <w:p w14:paraId="6E3C64EC" w14:textId="77777777" w:rsidR="00363C72" w:rsidRPr="00F23936" w:rsidRDefault="00997918" w:rsidP="00363C72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E.</w:t>
            </w:r>
            <w:r w:rsidR="00363C72" w:rsidRPr="00F23936">
              <w:rPr>
                <w:sz w:val="22"/>
                <w:szCs w:val="22"/>
              </w:rPr>
              <w:t xml:space="preserve"> Nowak, </w:t>
            </w:r>
            <w:r w:rsidR="00363C72" w:rsidRPr="00F23936">
              <w:rPr>
                <w:i/>
                <w:sz w:val="22"/>
                <w:szCs w:val="22"/>
              </w:rPr>
              <w:t>Logistyka w sytuacjach kryzysowych</w:t>
            </w:r>
            <w:r w:rsidR="00363C72" w:rsidRPr="00F23936">
              <w:rPr>
                <w:sz w:val="22"/>
                <w:szCs w:val="22"/>
              </w:rPr>
              <w:t>, AON, Warszawa 2009.</w:t>
            </w:r>
          </w:p>
          <w:p w14:paraId="1DF89E3C" w14:textId="77777777" w:rsidR="00363C72" w:rsidRPr="00F23936" w:rsidRDefault="00363C72" w:rsidP="00363C72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Krynojewski Franciszek R., </w:t>
            </w:r>
            <w:r w:rsidRPr="00F23936">
              <w:rPr>
                <w:bCs/>
                <w:i/>
                <w:kern w:val="36"/>
                <w:sz w:val="22"/>
                <w:szCs w:val="22"/>
              </w:rPr>
              <w:t>Obrona cywilna Rzeczpospolitej Polskiej</w:t>
            </w:r>
            <w:r w:rsidRPr="00F23936">
              <w:rPr>
                <w:bCs/>
                <w:kern w:val="36"/>
                <w:sz w:val="22"/>
                <w:szCs w:val="22"/>
              </w:rPr>
              <w:t xml:space="preserve">, Difin, </w:t>
            </w:r>
            <w:r w:rsidRPr="00F23936">
              <w:rPr>
                <w:sz w:val="22"/>
                <w:szCs w:val="22"/>
              </w:rPr>
              <w:t>2012.</w:t>
            </w:r>
          </w:p>
          <w:p w14:paraId="65DB17DF" w14:textId="77777777" w:rsidR="00363C72" w:rsidRPr="00F23936" w:rsidRDefault="00363C72" w:rsidP="00363C72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Grocki </w:t>
            </w:r>
            <w:r w:rsidR="00997918" w:rsidRPr="00F23936">
              <w:rPr>
                <w:sz w:val="22"/>
                <w:szCs w:val="22"/>
              </w:rPr>
              <w:t>R.</w:t>
            </w:r>
            <w:r w:rsidRPr="00F23936">
              <w:rPr>
                <w:sz w:val="22"/>
                <w:szCs w:val="22"/>
              </w:rPr>
              <w:t xml:space="preserve">, </w:t>
            </w:r>
            <w:r w:rsidRPr="00F23936">
              <w:rPr>
                <w:i/>
                <w:sz w:val="22"/>
                <w:szCs w:val="22"/>
              </w:rPr>
              <w:t>Zarzadzanie kryzysowe</w:t>
            </w:r>
            <w:r w:rsidRPr="00F23936">
              <w:rPr>
                <w:sz w:val="22"/>
                <w:szCs w:val="22"/>
              </w:rPr>
              <w:t>. Dobre praktyki, Difin, 2012.</w:t>
            </w:r>
          </w:p>
          <w:p w14:paraId="212FA912" w14:textId="77777777" w:rsidR="00363C72" w:rsidRPr="00F23936" w:rsidRDefault="00363C72" w:rsidP="00363C72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Sienkiewicz-Małyjurek </w:t>
            </w:r>
            <w:r w:rsidR="00997918" w:rsidRPr="00F23936">
              <w:rPr>
                <w:sz w:val="22"/>
                <w:szCs w:val="22"/>
              </w:rPr>
              <w:t>K.</w:t>
            </w:r>
            <w:r w:rsidRPr="00F23936">
              <w:rPr>
                <w:sz w:val="22"/>
                <w:szCs w:val="22"/>
              </w:rPr>
              <w:t xml:space="preserve">, Krynojewski Franciszek R., </w:t>
            </w:r>
            <w:r w:rsidRPr="00F23936">
              <w:rPr>
                <w:i/>
                <w:sz w:val="22"/>
                <w:szCs w:val="22"/>
              </w:rPr>
              <w:t>Zarządzanie kryzysowe w administracji publicznej,</w:t>
            </w:r>
            <w:r w:rsidRPr="00F23936">
              <w:rPr>
                <w:sz w:val="22"/>
                <w:szCs w:val="22"/>
              </w:rPr>
              <w:t xml:space="preserve"> Difin 2010.</w:t>
            </w:r>
          </w:p>
          <w:p w14:paraId="3C75CFF6" w14:textId="77777777" w:rsidR="00363C72" w:rsidRPr="00F23936" w:rsidRDefault="00997918" w:rsidP="00363C72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F23936">
              <w:rPr>
                <w:rStyle w:val="citation"/>
                <w:sz w:val="22"/>
                <w:szCs w:val="22"/>
              </w:rPr>
              <w:t>W.</w:t>
            </w:r>
            <w:r w:rsidR="00363C72" w:rsidRPr="00F23936">
              <w:rPr>
                <w:rStyle w:val="citation"/>
                <w:sz w:val="22"/>
                <w:szCs w:val="22"/>
              </w:rPr>
              <w:t xml:space="preserve"> Lidwa: </w:t>
            </w:r>
            <w:r w:rsidR="00363C72" w:rsidRPr="00F23936">
              <w:rPr>
                <w:rStyle w:val="citation"/>
                <w:i/>
                <w:iCs/>
                <w:sz w:val="22"/>
                <w:szCs w:val="22"/>
              </w:rPr>
              <w:t>Zarządzanie w sytuacjach kryzysowych</w:t>
            </w:r>
            <w:r w:rsidR="00363C72" w:rsidRPr="00F23936">
              <w:rPr>
                <w:rStyle w:val="citation"/>
                <w:sz w:val="22"/>
                <w:szCs w:val="22"/>
              </w:rPr>
              <w:t>. Warszawa: Akademia Obrony Narodowej, 2010.</w:t>
            </w:r>
          </w:p>
          <w:p w14:paraId="0EB7E198" w14:textId="77777777" w:rsidR="00363C72" w:rsidRPr="00F23936" w:rsidRDefault="00363C72" w:rsidP="00363C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23936">
              <w:rPr>
                <w:color w:val="000000"/>
                <w:sz w:val="22"/>
                <w:szCs w:val="22"/>
              </w:rPr>
              <w:t>Źródła prawa:</w:t>
            </w:r>
          </w:p>
          <w:p w14:paraId="3F5633CC" w14:textId="77777777" w:rsidR="00363C72" w:rsidRPr="00F23936" w:rsidRDefault="00363C72" w:rsidP="00363C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23936">
              <w:rPr>
                <w:bCs/>
                <w:sz w:val="22"/>
                <w:szCs w:val="22"/>
              </w:rPr>
              <w:t xml:space="preserve">Ustawa </w:t>
            </w:r>
            <w:r w:rsidRPr="00F23936">
              <w:rPr>
                <w:sz w:val="22"/>
                <w:szCs w:val="22"/>
              </w:rPr>
              <w:t xml:space="preserve">z dnia 26 kwietnia 2007 r. </w:t>
            </w:r>
            <w:r w:rsidRPr="00F23936">
              <w:rPr>
                <w:bCs/>
                <w:sz w:val="22"/>
                <w:szCs w:val="22"/>
              </w:rPr>
              <w:t xml:space="preserve">o zarządzaniu kryzysowym, </w:t>
            </w:r>
            <w:r w:rsidR="00F72ADC" w:rsidRPr="00F23936">
              <w:rPr>
                <w:bCs/>
                <w:sz w:val="22"/>
                <w:szCs w:val="22"/>
              </w:rPr>
              <w:t>tekst jednolity.</w:t>
            </w:r>
          </w:p>
          <w:p w14:paraId="690E000F" w14:textId="77777777" w:rsidR="00363C72" w:rsidRPr="00F23936" w:rsidRDefault="00363C72" w:rsidP="00363C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Rozporządzenie Rady Ministrów z dnia 30 kwietnia 2010 r. w sprawie planów ochrony infrastruktury krytycznej, Dz. U. nr 83, poz. 542.</w:t>
            </w:r>
            <w:r w:rsidRPr="00F23936">
              <w:rPr>
                <w:bCs/>
                <w:sz w:val="22"/>
                <w:szCs w:val="22"/>
              </w:rPr>
              <w:t xml:space="preserve"> </w:t>
            </w:r>
          </w:p>
          <w:p w14:paraId="59252F51" w14:textId="77777777" w:rsidR="00363C72" w:rsidRPr="00F23936" w:rsidRDefault="00363C72" w:rsidP="00363C72">
            <w:pPr>
              <w:pStyle w:val="Nagwek3"/>
              <w:keepNext/>
              <w:keepLines/>
              <w:numPr>
                <w:ilvl w:val="0"/>
                <w:numId w:val="4"/>
              </w:numPr>
              <w:pBdr>
                <w:bottom w:val="none" w:sz="0" w:space="0" w:color="auto"/>
              </w:pBdr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23936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Rozp. RM z 30.04. 2010 r. w sprawie Narodowego Programu Ochrony Infrastruktury Krytycznej, Dz. U. nr 83, poz. 541.</w:t>
            </w:r>
          </w:p>
          <w:p w14:paraId="02951789" w14:textId="77777777" w:rsidR="00363C72" w:rsidRPr="00F23936" w:rsidRDefault="00363C72" w:rsidP="00363C7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pl-PL"/>
              </w:rPr>
            </w:pPr>
            <w:r w:rsidRPr="00F23936">
              <w:rPr>
                <w:rFonts w:ascii="Times New Roman" w:hAnsi="Times New Roman" w:cs="Times New Roman"/>
                <w:color w:val="000000"/>
                <w:lang w:val="pl-PL"/>
              </w:rPr>
              <w:t>Ustawa z dnia 29 października 2010 r. o rezerwach strategicznych, t.j Dz. U z 2015 r. poz. 1229.</w:t>
            </w:r>
          </w:p>
          <w:p w14:paraId="2CB4A5D5" w14:textId="77777777" w:rsidR="00363C72" w:rsidRPr="00F23936" w:rsidRDefault="00363C72" w:rsidP="00363C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</w:rPr>
            </w:pPr>
            <w:r w:rsidRPr="00F23936">
              <w:rPr>
                <w:bCs/>
                <w:sz w:val="22"/>
                <w:szCs w:val="22"/>
              </w:rPr>
              <w:t xml:space="preserve">USTAWA  </w:t>
            </w:r>
            <w:r w:rsidRPr="00F23936">
              <w:rPr>
                <w:rFonts w:eastAsia="TimesNewRomanPSMT"/>
                <w:sz w:val="22"/>
                <w:szCs w:val="22"/>
              </w:rPr>
              <w:t xml:space="preserve">z dnia 8 września 2006 r. </w:t>
            </w:r>
            <w:r w:rsidRPr="00F23936">
              <w:rPr>
                <w:bCs/>
                <w:sz w:val="22"/>
                <w:szCs w:val="22"/>
              </w:rPr>
              <w:t>o Państwowym Ratownictwie Medycznym, t.j. Dz. U. z 2013 r. p</w:t>
            </w:r>
            <w:r w:rsidRPr="00F23936">
              <w:rPr>
                <w:rFonts w:eastAsia="TimesNewRomanPSMT"/>
                <w:sz w:val="22"/>
                <w:szCs w:val="22"/>
              </w:rPr>
              <w:t>oz. 757.</w:t>
            </w:r>
          </w:p>
          <w:p w14:paraId="294AA5AA" w14:textId="77777777" w:rsidR="00363C72" w:rsidRPr="00F23936" w:rsidRDefault="00363C72" w:rsidP="00363C72">
            <w:pPr>
              <w:pStyle w:val="Defaul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23936">
              <w:rPr>
                <w:rFonts w:ascii="Times New Roman" w:eastAsia="UniversPro-Roman" w:hAnsi="Times New Roman" w:cs="Times New Roman"/>
                <w:sz w:val="22"/>
                <w:szCs w:val="22"/>
              </w:rPr>
              <w:t>Ustawa z dnia 24 sierpnia 1991 r. o ochronie przeciwpożarowej t.j. Dz. U. z 2016 r. poz. 191.</w:t>
            </w:r>
          </w:p>
          <w:p w14:paraId="2FC2279A" w14:textId="77777777" w:rsidR="00F72ADC" w:rsidRPr="00F23936" w:rsidRDefault="00363C72" w:rsidP="00F72A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3936">
              <w:rPr>
                <w:rFonts w:eastAsia="UniversPro-Bold"/>
                <w:bCs/>
                <w:sz w:val="22"/>
                <w:szCs w:val="22"/>
              </w:rPr>
              <w:t xml:space="preserve">Rozp. MSWiA </w:t>
            </w:r>
            <w:r w:rsidRPr="00F23936">
              <w:rPr>
                <w:rFonts w:eastAsia="UniversPro-Roman"/>
                <w:sz w:val="22"/>
                <w:szCs w:val="22"/>
              </w:rPr>
              <w:t xml:space="preserve">z dnia 18 lutego 2011 r. </w:t>
            </w:r>
            <w:r w:rsidRPr="00F23936">
              <w:rPr>
                <w:rFonts w:eastAsia="UniversPro-Bold"/>
                <w:bCs/>
                <w:sz w:val="22"/>
                <w:szCs w:val="22"/>
              </w:rPr>
              <w:t>w sprawie szczegółowych zasad organizacji krajowego systemu ratowniczo –gaśniczego, Dz. U. nr 46, poz. 239.</w:t>
            </w:r>
          </w:p>
          <w:p w14:paraId="4676054E" w14:textId="77777777" w:rsidR="00FC3315" w:rsidRPr="00F23936" w:rsidRDefault="00F72ADC" w:rsidP="00F72A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3936">
              <w:rPr>
                <w:rFonts w:eastAsia="UniversPro-Bold"/>
                <w:bCs/>
                <w:sz w:val="22"/>
                <w:szCs w:val="22"/>
              </w:rPr>
              <w:t xml:space="preserve">Ustawa </w:t>
            </w:r>
            <w:r w:rsidR="00363C72" w:rsidRPr="00F23936">
              <w:rPr>
                <w:rFonts w:eastAsia="TimesNewRomanPSMT"/>
                <w:sz w:val="22"/>
                <w:szCs w:val="22"/>
              </w:rPr>
              <w:t xml:space="preserve">z dnia 22 listopada 2013 r. </w:t>
            </w:r>
            <w:r w:rsidR="00363C72" w:rsidRPr="00F23936">
              <w:rPr>
                <w:bCs/>
                <w:sz w:val="22"/>
                <w:szCs w:val="22"/>
              </w:rPr>
              <w:t>o systemie powiadamiania ratunkowego, Dz. U. z 2013 r. po</w:t>
            </w:r>
            <w:r w:rsidR="00363C72" w:rsidRPr="00F23936">
              <w:rPr>
                <w:rFonts w:eastAsia="TimesNewRomanPSMT"/>
                <w:sz w:val="22"/>
                <w:szCs w:val="22"/>
              </w:rPr>
              <w:t>z. 1635</w:t>
            </w:r>
            <w:r w:rsidRPr="00F23936">
              <w:rPr>
                <w:rFonts w:eastAsia="TimesNewRomanPSMT"/>
                <w:sz w:val="22"/>
                <w:szCs w:val="22"/>
              </w:rPr>
              <w:t>.</w:t>
            </w:r>
          </w:p>
        </w:tc>
      </w:tr>
      <w:tr w:rsidR="00FC3315" w:rsidRPr="00F23936" w14:paraId="44FCADDB" w14:textId="77777777" w:rsidTr="009E7B8A">
        <w:tc>
          <w:tcPr>
            <w:tcW w:w="2660" w:type="dxa"/>
          </w:tcPr>
          <w:p w14:paraId="444DDC1E" w14:textId="77777777" w:rsidR="00FC3315" w:rsidRPr="00F23936" w:rsidRDefault="00FC3315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Metody kształcenia</w:t>
            </w:r>
            <w:r w:rsidR="00F23936" w:rsidRPr="00F23936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7A024ACE" w14:textId="77777777" w:rsidR="00FC3315" w:rsidRPr="00F23936" w:rsidRDefault="00C438B4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multimedialny; ćwiczenia – metody aktywizujące</w:t>
            </w:r>
          </w:p>
        </w:tc>
      </w:tr>
      <w:tr w:rsidR="00F23936" w:rsidRPr="00F23936" w14:paraId="5B2106C7" w14:textId="77777777" w:rsidTr="009E7B8A">
        <w:tc>
          <w:tcPr>
            <w:tcW w:w="2660" w:type="dxa"/>
          </w:tcPr>
          <w:p w14:paraId="2CA68F7D" w14:textId="77777777" w:rsidR="00F23936" w:rsidRPr="00F23936" w:rsidRDefault="00F23936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Metody kształcenia</w:t>
            </w:r>
            <w:r w:rsidRPr="00F23936">
              <w:rPr>
                <w:sz w:val="22"/>
                <w:szCs w:val="22"/>
              </w:rPr>
              <w:br/>
              <w:t>z wykorzystaniem metod i technik kształcenia na</w:t>
            </w:r>
            <w:r w:rsidRPr="00F23936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348" w:type="dxa"/>
            <w:vAlign w:val="center"/>
          </w:tcPr>
          <w:p w14:paraId="0CDB7B97" w14:textId="77777777" w:rsidR="00F23936" w:rsidRPr="00F23936" w:rsidRDefault="00F23936" w:rsidP="009E7B8A">
            <w:pPr>
              <w:jc w:val="both"/>
              <w:rPr>
                <w:sz w:val="22"/>
                <w:szCs w:val="22"/>
              </w:rPr>
            </w:pPr>
            <w:r w:rsidRPr="00F23936">
              <w:rPr>
                <w:bCs/>
                <w:sz w:val="22"/>
                <w:szCs w:val="22"/>
              </w:rPr>
              <w:t>Nie dotyczy</w:t>
            </w:r>
          </w:p>
        </w:tc>
      </w:tr>
    </w:tbl>
    <w:p w14:paraId="1D0DDF9B" w14:textId="77777777" w:rsidR="00FC3315" w:rsidRPr="00F23936" w:rsidRDefault="00FC3315" w:rsidP="00FC3315">
      <w:pPr>
        <w:rPr>
          <w:sz w:val="22"/>
          <w:szCs w:val="22"/>
        </w:rPr>
      </w:pPr>
    </w:p>
    <w:p w14:paraId="3847F295" w14:textId="77777777" w:rsidR="009E7B8A" w:rsidRPr="00F23936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F23936" w14:paraId="79A4F2A6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B321D97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CA5ED12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</w:p>
          <w:p w14:paraId="54847C64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Nr efektu uczenia się/grupy efektów</w:t>
            </w:r>
            <w:r w:rsidRPr="00F23936">
              <w:rPr>
                <w:sz w:val="22"/>
                <w:szCs w:val="22"/>
              </w:rPr>
              <w:br/>
            </w:r>
          </w:p>
        </w:tc>
      </w:tr>
      <w:tr w:rsidR="00FC3315" w:rsidRPr="00F23936" w14:paraId="4A22EACA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7FDC0D7" w14:textId="77777777" w:rsidR="00FC3315" w:rsidRPr="00F23936" w:rsidRDefault="00B30B69" w:rsidP="0099791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Kolokwium obejmujące wiedzę z wykładów i samodzielnego studiowania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CDBDFBB" w14:textId="77777777" w:rsidR="00FC3315" w:rsidRPr="00F23936" w:rsidRDefault="00B30B69" w:rsidP="0099791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01-06</w:t>
            </w:r>
          </w:p>
        </w:tc>
      </w:tr>
      <w:tr w:rsidR="00FC3315" w:rsidRPr="00F23936" w14:paraId="78AAB2F1" w14:textId="77777777" w:rsidTr="00EA2D0E">
        <w:tc>
          <w:tcPr>
            <w:tcW w:w="8208" w:type="dxa"/>
            <w:gridSpan w:val="2"/>
          </w:tcPr>
          <w:p w14:paraId="389629EA" w14:textId="77777777" w:rsidR="00FC3315" w:rsidRPr="00F23936" w:rsidRDefault="00B30B69" w:rsidP="0099791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Opracowanie analizy logistycznego zabezpieczenia sytuacji kryzysowej w wybranej jednostce </w:t>
            </w:r>
          </w:p>
        </w:tc>
        <w:tc>
          <w:tcPr>
            <w:tcW w:w="1800" w:type="dxa"/>
          </w:tcPr>
          <w:p w14:paraId="73D2CA60" w14:textId="77777777" w:rsidR="00FC3315" w:rsidRPr="00F23936" w:rsidRDefault="00B30B69" w:rsidP="0099791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01-06</w:t>
            </w:r>
          </w:p>
        </w:tc>
      </w:tr>
      <w:tr w:rsidR="00FC3315" w:rsidRPr="00F23936" w14:paraId="4B1C2DAF" w14:textId="77777777" w:rsidTr="00EA2D0E">
        <w:tc>
          <w:tcPr>
            <w:tcW w:w="8208" w:type="dxa"/>
            <w:gridSpan w:val="2"/>
          </w:tcPr>
          <w:p w14:paraId="479FC14F" w14:textId="77777777" w:rsidR="00FC3315" w:rsidRPr="00F23936" w:rsidRDefault="00B30B69" w:rsidP="0099791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Ocena aktywności na zajęciach </w:t>
            </w:r>
          </w:p>
        </w:tc>
        <w:tc>
          <w:tcPr>
            <w:tcW w:w="1800" w:type="dxa"/>
          </w:tcPr>
          <w:p w14:paraId="56C7D3FB" w14:textId="77777777" w:rsidR="00FC3315" w:rsidRPr="00F23936" w:rsidRDefault="00B30B69" w:rsidP="0099791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01-06</w:t>
            </w:r>
          </w:p>
        </w:tc>
      </w:tr>
      <w:tr w:rsidR="00FC3315" w:rsidRPr="00F23936" w14:paraId="7D6DFC18" w14:textId="77777777" w:rsidTr="00EA2D0E">
        <w:tc>
          <w:tcPr>
            <w:tcW w:w="2660" w:type="dxa"/>
            <w:tcBorders>
              <w:bottom w:val="single" w:sz="12" w:space="0" w:color="auto"/>
            </w:tcBorders>
          </w:tcPr>
          <w:p w14:paraId="131162D3" w14:textId="77777777" w:rsidR="00FC3315" w:rsidRPr="00F23936" w:rsidRDefault="00FC3315" w:rsidP="0099791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D0900BC" w14:textId="77777777" w:rsidR="00FC3315" w:rsidRPr="00F23936" w:rsidRDefault="00B30B69" w:rsidP="00997918">
            <w:pPr>
              <w:jc w:val="both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Kolokwium z zakresu wiedzy objętej wykładem oraz ocena raportu z analizy zabezpieczenia logistycznego sytuacji kryzysowej</w:t>
            </w:r>
            <w:r w:rsidR="009B0F31" w:rsidRPr="00F23936">
              <w:rPr>
                <w:sz w:val="22"/>
                <w:szCs w:val="22"/>
              </w:rPr>
              <w:t xml:space="preserve">. </w:t>
            </w:r>
            <w:r w:rsidR="009B0F31" w:rsidRPr="00F23936">
              <w:rPr>
                <w:bCs/>
                <w:sz w:val="22"/>
                <w:szCs w:val="22"/>
              </w:rPr>
              <w:t>Ocena końcowa = 50% wykład+ 50% ćwiczenia.</w:t>
            </w:r>
          </w:p>
        </w:tc>
      </w:tr>
    </w:tbl>
    <w:p w14:paraId="7F6D0FB6" w14:textId="77777777" w:rsidR="00FC3315" w:rsidRPr="00F23936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701"/>
        <w:gridCol w:w="1962"/>
      </w:tblGrid>
      <w:tr w:rsidR="00FC3315" w:rsidRPr="00F23936" w14:paraId="6042BBD5" w14:textId="77777777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600C802" w14:textId="77777777" w:rsidR="00FC3315" w:rsidRPr="00F23936" w:rsidRDefault="00FC3315" w:rsidP="00FC3315">
            <w:pPr>
              <w:rPr>
                <w:sz w:val="22"/>
                <w:szCs w:val="22"/>
              </w:rPr>
            </w:pPr>
          </w:p>
          <w:p w14:paraId="3705B730" w14:textId="77777777" w:rsidR="00FC3315" w:rsidRPr="00F23936" w:rsidRDefault="00FC3315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NAKŁAD PRACY STUDENTA</w:t>
            </w:r>
          </w:p>
          <w:p w14:paraId="71518AB2" w14:textId="77777777" w:rsidR="00FC3315" w:rsidRPr="00F23936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F23936" w14:paraId="2291246C" w14:textId="77777777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B2CCD3E" w14:textId="77777777" w:rsidR="00FC3315" w:rsidRPr="00F2393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0CAAED3" w14:textId="77777777" w:rsidR="00FC3315" w:rsidRPr="00F2393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F23936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7AA18C52" w14:textId="77777777" w:rsidR="00FC3315" w:rsidRPr="00F2393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F23936">
              <w:rPr>
                <w:rFonts w:ascii="Times New Roman" w:hAnsi="Times New Roman" w:cs="Times New Roman"/>
              </w:rPr>
              <w:t>Liczba godzin</w:t>
            </w:r>
          </w:p>
        </w:tc>
      </w:tr>
      <w:tr w:rsidR="00F23936" w:rsidRPr="00F23936" w14:paraId="52A4BAF1" w14:textId="77777777" w:rsidTr="00F23936">
        <w:trPr>
          <w:trHeight w:val="262"/>
        </w:trPr>
        <w:tc>
          <w:tcPr>
            <w:tcW w:w="5070" w:type="dxa"/>
            <w:vMerge/>
            <w:vAlign w:val="center"/>
          </w:tcPr>
          <w:p w14:paraId="352F0133" w14:textId="77777777" w:rsidR="00F23936" w:rsidRPr="00F23936" w:rsidRDefault="00F23936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674DE3AE" w14:textId="77777777" w:rsidR="00F23936" w:rsidRPr="00F23936" w:rsidRDefault="00F23936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F23936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701" w:type="dxa"/>
            <w:vAlign w:val="center"/>
          </w:tcPr>
          <w:p w14:paraId="32248877" w14:textId="77777777" w:rsidR="00F23936" w:rsidRPr="00F23936" w:rsidRDefault="00F23936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23936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F23936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3E94198B" w14:textId="77777777" w:rsidR="00F23936" w:rsidRPr="00F23936" w:rsidRDefault="00F23936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438B4">
              <w:rPr>
                <w:rFonts w:ascii="Times New Roman" w:hAnsi="Times New Roman" w:cs="Times New Roman"/>
                <w:lang w:val="pl-PL"/>
              </w:rPr>
              <w:t>W tym udział</w:t>
            </w:r>
            <w:r w:rsidRPr="00C438B4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C438B4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C438B4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C438B4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C438B4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C438B4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F23936" w:rsidRPr="00F23936" w14:paraId="4D0EAE1A" w14:textId="77777777" w:rsidTr="00F23936">
        <w:trPr>
          <w:trHeight w:val="262"/>
        </w:trPr>
        <w:tc>
          <w:tcPr>
            <w:tcW w:w="5070" w:type="dxa"/>
          </w:tcPr>
          <w:p w14:paraId="14A49A67" w14:textId="77777777" w:rsidR="00F23936" w:rsidRPr="00F23936" w:rsidRDefault="00F23936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14:paraId="09C415A6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427F2592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22D12895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F23936" w:rsidRPr="00F23936" w14:paraId="763B1A6B" w14:textId="77777777" w:rsidTr="00F23936">
        <w:trPr>
          <w:trHeight w:val="262"/>
        </w:trPr>
        <w:tc>
          <w:tcPr>
            <w:tcW w:w="5070" w:type="dxa"/>
          </w:tcPr>
          <w:p w14:paraId="4739EA58" w14:textId="77777777" w:rsidR="00F23936" w:rsidRPr="00F23936" w:rsidRDefault="00F23936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13E01613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6BBA428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3795506C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F23936" w:rsidRPr="00F23936" w14:paraId="2D96D3E9" w14:textId="77777777" w:rsidTr="00F23936">
        <w:trPr>
          <w:trHeight w:val="262"/>
        </w:trPr>
        <w:tc>
          <w:tcPr>
            <w:tcW w:w="5070" w:type="dxa"/>
          </w:tcPr>
          <w:p w14:paraId="54717D3F" w14:textId="77777777" w:rsidR="00F23936" w:rsidRPr="00F23936" w:rsidRDefault="00F23936" w:rsidP="00FC3315">
            <w:pPr>
              <w:rPr>
                <w:sz w:val="22"/>
                <w:szCs w:val="22"/>
                <w:vertAlign w:val="superscript"/>
              </w:rPr>
            </w:pPr>
            <w:r w:rsidRPr="00F23936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20DEB5D3" w14:textId="77777777" w:rsidR="00F23936" w:rsidRPr="00F23936" w:rsidRDefault="00F23936" w:rsidP="005A5B46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1AF234A0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  <w:vAlign w:val="center"/>
          </w:tcPr>
          <w:p w14:paraId="58D990DA" w14:textId="77777777" w:rsidR="00F23936" w:rsidRPr="00F23936" w:rsidRDefault="00F23936" w:rsidP="00F23936">
            <w:pPr>
              <w:jc w:val="center"/>
              <w:rPr>
                <w:sz w:val="22"/>
                <w:szCs w:val="22"/>
              </w:rPr>
            </w:pPr>
          </w:p>
        </w:tc>
      </w:tr>
      <w:tr w:rsidR="00F23936" w:rsidRPr="00F23936" w14:paraId="2D91DEBE" w14:textId="77777777" w:rsidTr="00F23936">
        <w:trPr>
          <w:trHeight w:val="262"/>
        </w:trPr>
        <w:tc>
          <w:tcPr>
            <w:tcW w:w="5070" w:type="dxa"/>
          </w:tcPr>
          <w:p w14:paraId="0E4C6DE2" w14:textId="77777777" w:rsidR="00F23936" w:rsidRPr="00F23936" w:rsidRDefault="00F23936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25204195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180B9BC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22623B83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F23936" w:rsidRPr="00F23936" w14:paraId="5C0DFF6F" w14:textId="77777777" w:rsidTr="00F23936">
        <w:trPr>
          <w:trHeight w:val="262"/>
        </w:trPr>
        <w:tc>
          <w:tcPr>
            <w:tcW w:w="5070" w:type="dxa"/>
          </w:tcPr>
          <w:p w14:paraId="501AE3CF" w14:textId="77777777" w:rsidR="00F23936" w:rsidRPr="00F23936" w:rsidRDefault="00F23936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Przygotowanie projektu / eseju / itp.</w:t>
            </w:r>
            <w:r w:rsidRPr="00F23936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2A24C4C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1755E01F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  <w:vAlign w:val="center"/>
          </w:tcPr>
          <w:p w14:paraId="5483B6F0" w14:textId="77777777" w:rsidR="00F23936" w:rsidRPr="00F23936" w:rsidRDefault="00F23936" w:rsidP="00F23936">
            <w:pPr>
              <w:jc w:val="center"/>
              <w:rPr>
                <w:sz w:val="22"/>
                <w:szCs w:val="22"/>
              </w:rPr>
            </w:pPr>
          </w:p>
        </w:tc>
      </w:tr>
      <w:tr w:rsidR="00F23936" w:rsidRPr="00F23936" w14:paraId="7F089EFE" w14:textId="77777777" w:rsidTr="00F23936">
        <w:trPr>
          <w:trHeight w:val="262"/>
        </w:trPr>
        <w:tc>
          <w:tcPr>
            <w:tcW w:w="5070" w:type="dxa"/>
          </w:tcPr>
          <w:p w14:paraId="200D34E5" w14:textId="77777777" w:rsidR="00F23936" w:rsidRPr="00F23936" w:rsidRDefault="00F23936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35B2FA6D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2E3DFB25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5</w:t>
            </w:r>
          </w:p>
        </w:tc>
        <w:tc>
          <w:tcPr>
            <w:tcW w:w="1962" w:type="dxa"/>
            <w:vAlign w:val="center"/>
          </w:tcPr>
          <w:p w14:paraId="1AD8823A" w14:textId="77777777" w:rsidR="00F23936" w:rsidRPr="00F23936" w:rsidRDefault="00F23936" w:rsidP="00F23936">
            <w:pPr>
              <w:jc w:val="center"/>
              <w:rPr>
                <w:sz w:val="22"/>
                <w:szCs w:val="22"/>
              </w:rPr>
            </w:pPr>
          </w:p>
        </w:tc>
      </w:tr>
      <w:tr w:rsidR="00F23936" w:rsidRPr="00F23936" w14:paraId="4E531E0D" w14:textId="77777777" w:rsidTr="00F23936">
        <w:trPr>
          <w:trHeight w:val="262"/>
        </w:trPr>
        <w:tc>
          <w:tcPr>
            <w:tcW w:w="5070" w:type="dxa"/>
          </w:tcPr>
          <w:p w14:paraId="08C871C2" w14:textId="77777777" w:rsidR="00F23936" w:rsidRPr="00F23936" w:rsidRDefault="00F23936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14:paraId="0CC0E025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5E63958D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2D6D1F36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F23936" w:rsidRPr="00F23936" w14:paraId="47FF4C4C" w14:textId="77777777" w:rsidTr="00F23936">
        <w:trPr>
          <w:trHeight w:val="262"/>
        </w:trPr>
        <w:tc>
          <w:tcPr>
            <w:tcW w:w="5070" w:type="dxa"/>
          </w:tcPr>
          <w:p w14:paraId="65B4C4D8" w14:textId="77777777" w:rsidR="00F23936" w:rsidRPr="00F23936" w:rsidRDefault="00F23936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14:paraId="62F0706D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D15FD42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0FA1A9E4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F23936" w:rsidRPr="00F23936" w14:paraId="770DE8FC" w14:textId="77777777" w:rsidTr="00F23936">
        <w:trPr>
          <w:trHeight w:val="262"/>
        </w:trPr>
        <w:tc>
          <w:tcPr>
            <w:tcW w:w="5070" w:type="dxa"/>
          </w:tcPr>
          <w:p w14:paraId="281EC97E" w14:textId="77777777" w:rsidR="00F23936" w:rsidRPr="00F23936" w:rsidRDefault="00F23936" w:rsidP="00FC3315">
            <w:pPr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40249DFF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52</w:t>
            </w:r>
          </w:p>
        </w:tc>
        <w:tc>
          <w:tcPr>
            <w:tcW w:w="1701" w:type="dxa"/>
            <w:vAlign w:val="center"/>
          </w:tcPr>
          <w:p w14:paraId="57CE1474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35</w:t>
            </w:r>
          </w:p>
        </w:tc>
        <w:tc>
          <w:tcPr>
            <w:tcW w:w="1962" w:type="dxa"/>
            <w:vAlign w:val="center"/>
          </w:tcPr>
          <w:p w14:paraId="17F397A9" w14:textId="77777777" w:rsidR="00F23936" w:rsidRPr="00F23936" w:rsidRDefault="00F23936" w:rsidP="00F23936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0,0</w:t>
            </w:r>
          </w:p>
        </w:tc>
      </w:tr>
      <w:tr w:rsidR="00FC3315" w:rsidRPr="00F23936" w14:paraId="5A0A802A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6BB00D65" w14:textId="77777777" w:rsidR="00FC3315" w:rsidRPr="00F23936" w:rsidRDefault="00FC3315" w:rsidP="00FC3315">
            <w:pPr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BFED3A6" w14:textId="77777777" w:rsidR="00FC3315" w:rsidRPr="00F23936" w:rsidRDefault="00AC53D5" w:rsidP="009E7B8A">
            <w:pPr>
              <w:jc w:val="center"/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2</w:t>
            </w:r>
          </w:p>
        </w:tc>
      </w:tr>
      <w:tr w:rsidR="00FC3315" w:rsidRPr="00F23936" w14:paraId="371FCBAC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5FE3A492" w14:textId="77777777" w:rsidR="00FC3315" w:rsidRPr="00F23936" w:rsidRDefault="00FC3315" w:rsidP="00FC3315">
            <w:pPr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B2D62A9" w14:textId="77777777" w:rsidR="00B30B69" w:rsidRPr="00F23936" w:rsidRDefault="00B30B69" w:rsidP="00B30B69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1 – Nauki prawne</w:t>
            </w:r>
          </w:p>
          <w:p w14:paraId="572EBD44" w14:textId="77777777" w:rsidR="00FC3315" w:rsidRPr="00F23936" w:rsidRDefault="00B30B69" w:rsidP="00B30B69">
            <w:pPr>
              <w:jc w:val="center"/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 xml:space="preserve">1 – Nauki o polityce i administracji </w:t>
            </w:r>
          </w:p>
        </w:tc>
      </w:tr>
      <w:tr w:rsidR="00FC3315" w:rsidRPr="00F23936" w14:paraId="539E369B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59D54386" w14:textId="77777777" w:rsidR="00FC3315" w:rsidRPr="00F23936" w:rsidRDefault="00FC3315" w:rsidP="00FC3315">
            <w:pPr>
              <w:rPr>
                <w:b/>
                <w:sz w:val="22"/>
                <w:szCs w:val="22"/>
                <w:vertAlign w:val="superscript"/>
              </w:rPr>
            </w:pPr>
            <w:r w:rsidRPr="00F23936">
              <w:rPr>
                <w:b/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58C54CD" w14:textId="77777777" w:rsidR="00FC3315" w:rsidRPr="00F23936" w:rsidRDefault="00B30B69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1,4</w:t>
            </w:r>
          </w:p>
        </w:tc>
      </w:tr>
      <w:tr w:rsidR="00F23936" w:rsidRPr="00F23936" w14:paraId="2B1D328E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77A1B4FE" w14:textId="77777777" w:rsidR="00F23936" w:rsidRPr="00F23936" w:rsidRDefault="00F23936" w:rsidP="00FC3315">
            <w:pPr>
              <w:rPr>
                <w:b/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Liczba punktów ECTS związana z kształceniem</w:t>
            </w:r>
            <w:r w:rsidRPr="00F23936">
              <w:rPr>
                <w:sz w:val="22"/>
                <w:szCs w:val="22"/>
              </w:rPr>
              <w:br/>
              <w:t>na odległość (kształcenie z wykorzystaniem</w:t>
            </w:r>
            <w:r w:rsidRPr="00F23936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1A96891" w14:textId="77777777" w:rsidR="00F23936" w:rsidRPr="00F23936" w:rsidRDefault="00F23936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0,0</w:t>
            </w:r>
          </w:p>
        </w:tc>
      </w:tr>
      <w:tr w:rsidR="00FC3315" w:rsidRPr="00F23936" w14:paraId="57E3B8A1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1A294E0D" w14:textId="77777777" w:rsidR="00FC3315" w:rsidRPr="00F23936" w:rsidRDefault="00FC3315" w:rsidP="00FC3315">
            <w:pPr>
              <w:rPr>
                <w:b/>
                <w:sz w:val="22"/>
                <w:szCs w:val="22"/>
              </w:rPr>
            </w:pPr>
            <w:r w:rsidRPr="00F23936">
              <w:rPr>
                <w:b/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DA401BE" w14:textId="77777777" w:rsidR="00FC3315" w:rsidRPr="00F23936" w:rsidRDefault="00B30B69" w:rsidP="009E7B8A">
            <w:pPr>
              <w:jc w:val="center"/>
              <w:rPr>
                <w:sz w:val="22"/>
                <w:szCs w:val="22"/>
              </w:rPr>
            </w:pPr>
            <w:r w:rsidRPr="00F23936">
              <w:rPr>
                <w:sz w:val="22"/>
                <w:szCs w:val="22"/>
              </w:rPr>
              <w:t>1,2</w:t>
            </w:r>
          </w:p>
        </w:tc>
      </w:tr>
    </w:tbl>
    <w:p w14:paraId="562ED3D3" w14:textId="77777777" w:rsidR="00E40B0C" w:rsidRPr="00F23936" w:rsidRDefault="00E40B0C" w:rsidP="00FC3315">
      <w:pPr>
        <w:rPr>
          <w:sz w:val="22"/>
          <w:szCs w:val="22"/>
        </w:rPr>
      </w:pPr>
    </w:p>
    <w:sectPr w:rsidR="00E40B0C" w:rsidRPr="00F23936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niversPr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67AD8"/>
    <w:multiLevelType w:val="hybridMultilevel"/>
    <w:tmpl w:val="3F4A6866"/>
    <w:lvl w:ilvl="0" w:tplc="9D0AF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75B2BAB"/>
    <w:multiLevelType w:val="hybridMultilevel"/>
    <w:tmpl w:val="EFDA2C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5231F"/>
    <w:multiLevelType w:val="hybridMultilevel"/>
    <w:tmpl w:val="E48C8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872D8"/>
    <w:multiLevelType w:val="hybridMultilevel"/>
    <w:tmpl w:val="D12E477C"/>
    <w:lvl w:ilvl="0" w:tplc="DFEE3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87470044">
    <w:abstractNumId w:val="2"/>
  </w:num>
  <w:num w:numId="2" w16cid:durableId="545916009">
    <w:abstractNumId w:val="3"/>
  </w:num>
  <w:num w:numId="3" w16cid:durableId="2102723871">
    <w:abstractNumId w:val="4"/>
  </w:num>
  <w:num w:numId="4" w16cid:durableId="1226836420">
    <w:abstractNumId w:val="0"/>
  </w:num>
  <w:num w:numId="5" w16cid:durableId="99103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27D2"/>
    <w:rsid w:val="000C1B21"/>
    <w:rsid w:val="000C760A"/>
    <w:rsid w:val="000D2959"/>
    <w:rsid w:val="001576BD"/>
    <w:rsid w:val="00183B8B"/>
    <w:rsid w:val="001A5F34"/>
    <w:rsid w:val="0020545B"/>
    <w:rsid w:val="002A0A4B"/>
    <w:rsid w:val="002D08A1"/>
    <w:rsid w:val="003221E9"/>
    <w:rsid w:val="00325E3C"/>
    <w:rsid w:val="00335D56"/>
    <w:rsid w:val="00363C72"/>
    <w:rsid w:val="00382532"/>
    <w:rsid w:val="00410D8C"/>
    <w:rsid w:val="00416716"/>
    <w:rsid w:val="004474A9"/>
    <w:rsid w:val="0050790E"/>
    <w:rsid w:val="00511AA4"/>
    <w:rsid w:val="00521E9E"/>
    <w:rsid w:val="005411A7"/>
    <w:rsid w:val="005A5B46"/>
    <w:rsid w:val="005E4658"/>
    <w:rsid w:val="00622034"/>
    <w:rsid w:val="007968A8"/>
    <w:rsid w:val="007A313C"/>
    <w:rsid w:val="007C23D2"/>
    <w:rsid w:val="007C2838"/>
    <w:rsid w:val="00801B19"/>
    <w:rsid w:val="008020D5"/>
    <w:rsid w:val="00821E14"/>
    <w:rsid w:val="008322AC"/>
    <w:rsid w:val="00865722"/>
    <w:rsid w:val="0088496F"/>
    <w:rsid w:val="008A0657"/>
    <w:rsid w:val="008B224B"/>
    <w:rsid w:val="008C358C"/>
    <w:rsid w:val="009074ED"/>
    <w:rsid w:val="00997918"/>
    <w:rsid w:val="009B0F31"/>
    <w:rsid w:val="009C36F9"/>
    <w:rsid w:val="009D222A"/>
    <w:rsid w:val="009E7B8A"/>
    <w:rsid w:val="009F5760"/>
    <w:rsid w:val="00A0703A"/>
    <w:rsid w:val="00AC53D5"/>
    <w:rsid w:val="00AD5C6E"/>
    <w:rsid w:val="00B03140"/>
    <w:rsid w:val="00B30B69"/>
    <w:rsid w:val="00B44662"/>
    <w:rsid w:val="00BF2C1A"/>
    <w:rsid w:val="00C10988"/>
    <w:rsid w:val="00C438B4"/>
    <w:rsid w:val="00C60C15"/>
    <w:rsid w:val="00C81473"/>
    <w:rsid w:val="00C83126"/>
    <w:rsid w:val="00CF16C4"/>
    <w:rsid w:val="00D240F4"/>
    <w:rsid w:val="00D466D8"/>
    <w:rsid w:val="00D92AD8"/>
    <w:rsid w:val="00DC7B14"/>
    <w:rsid w:val="00DD1AE2"/>
    <w:rsid w:val="00E32F86"/>
    <w:rsid w:val="00E40B0C"/>
    <w:rsid w:val="00EA2C4A"/>
    <w:rsid w:val="00EE2410"/>
    <w:rsid w:val="00F14AB6"/>
    <w:rsid w:val="00F22F4E"/>
    <w:rsid w:val="00F23936"/>
    <w:rsid w:val="00F439A8"/>
    <w:rsid w:val="00F608DF"/>
    <w:rsid w:val="00F72ADC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FAA4"/>
  <w15:docId w15:val="{0085AB2B-0102-4ECE-809C-BE83BABA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citation">
    <w:name w:val="citation"/>
    <w:rsid w:val="00363C72"/>
  </w:style>
  <w:style w:type="paragraph" w:customStyle="1" w:styleId="Default">
    <w:name w:val="Default"/>
    <w:rsid w:val="00363C72"/>
    <w:pPr>
      <w:autoSpaceDE w:val="0"/>
      <w:autoSpaceDN w:val="0"/>
      <w:adjustRightInd w:val="0"/>
      <w:ind w:firstLine="0"/>
    </w:pPr>
    <w:rPr>
      <w:rFonts w:ascii="Times" w:eastAsia="Times New Roman" w:hAnsi="Times" w:cs="Times"/>
      <w:color w:val="000000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9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10</cp:revision>
  <dcterms:created xsi:type="dcterms:W3CDTF">2019-06-21T12:13:00Z</dcterms:created>
  <dcterms:modified xsi:type="dcterms:W3CDTF">2022-08-03T11:20:00Z</dcterms:modified>
</cp:coreProperties>
</file>